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/>
          <w:b w:val="0"/>
          <w:bCs w:val="0"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kern w:val="0"/>
          <w:sz w:val="24"/>
          <w:szCs w:val="22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8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198"/>
        <w:gridCol w:w="1888"/>
        <w:gridCol w:w="1888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国家和地区住宿费、伙食费和公杂费开支标准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住宿费（欧元）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伙食费（欧元）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公杂费（欧元）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巴黎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其他城市（塞纳）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巴塞罗那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葡萄牙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里斯本、科英布拉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柏林、汉堡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慕尼黑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160美元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45美元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230美元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70美元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50美元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*本表根据财行〔2013〕516号、财行〔2017〕434号文件附件整理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2NiYTg0YmFiZTRhYmE0MzhhZDE2YjBjNTE4NjUifQ=="/>
  </w:docVars>
  <w:rsids>
    <w:rsidRoot w:val="30B5261C"/>
    <w:rsid w:val="30B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2024-06-27T07:27:00Z</dcterms:created>
  <dc:creator>停止阶段性踌躇满志</dc:creator>
  <cp:lastModifiedBy>停止阶段性踌躇满志</cp:lastModifiedBy>
  <dcterms:modified xsi:type="dcterms:W3CDTF">2024-06-27T07:27:22Z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22F4421C89894016874000C28F55ECA4_11</vt:lpwstr>
  </property>
</Properties>
</file>